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Xaa23043339d89cb1fc60df843b9e608d428e155"/>
    <w:p>
      <w:pPr>
        <w:pStyle w:val="Heading2"/>
      </w:pPr>
      <w:r>
        <w:t xml:space="preserve">Processo n.º 2023/04567 – Ação Civil e Penal por Abuso de Menores na Associação Casa da Juventude</w:t>
      </w:r>
    </w:p>
    <w:p>
      <w:pPr>
        <w:pStyle w:val="FirstParagraph"/>
      </w:pPr>
      <w:r>
        <w:rPr>
          <w:b/>
          <w:bCs/>
        </w:rPr>
        <w:t xml:space="preserve">Vara de Família e Menores de Lisboa</w:t>
      </w:r>
      <w:r>
        <w:t xml:space="preserve"> </w:t>
      </w:r>
      <w:r>
        <w:t xml:space="preserve">– Juiz : Dr. António Ribeiro</w:t>
      </w:r>
    </w:p>
    <w:bookmarkStart w:id="9" w:name="alegações-finais-da-defesa"/>
    <w:p>
      <w:pPr>
        <w:pStyle w:val="Heading3"/>
      </w:pPr>
      <w:r>
        <w:rPr>
          <w:b/>
          <w:bCs/>
        </w:rPr>
        <w:t xml:space="preserve">Alegações Finais da Defesa</w:t>
      </w:r>
    </w:p>
    <w:p>
      <w:pPr>
        <w:pStyle w:val="FirstParagraph"/>
      </w:pPr>
      <w:r>
        <w:rPr>
          <w:b/>
          <w:bCs/>
        </w:rPr>
        <w:t xml:space="preserve">Defesa:</w:t>
      </w:r>
      <w:r>
        <w:t xml:space="preserve"> </w:t>
      </w:r>
      <w:r>
        <w:t xml:space="preserve">Associação Casa da Juventude, Lda., e Carlos Mendes – ex‑diretor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 Luís Costa (OA 12345) e Dra. Sofia Almeida (OA 67890)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 (mãe)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End w:id="9"/>
    <w:bookmarkStart w:id="10" w:name="i.-preâmbulo"/>
    <w:p>
      <w:pPr>
        <w:pStyle w:val="Heading3"/>
      </w:pPr>
      <w:r>
        <w:t xml:space="preserve">I. Preâmbulo</w:t>
      </w:r>
    </w:p>
    <w:p>
      <w:pPr>
        <w:pStyle w:val="FirstParagraph"/>
      </w:pPr>
      <w:r>
        <w:t xml:space="preserve">A presente peça tem por objetivo apresentar, em tempo útil, as</w:t>
      </w:r>
      <w:r>
        <w:t xml:space="preserve"> </w:t>
      </w:r>
      <w:r>
        <w:rPr>
          <w:b/>
          <w:bCs/>
        </w:rPr>
        <w:t xml:space="preserve">alegações finais da defesa</w:t>
      </w:r>
      <w:r>
        <w:t xml:space="preserve">, nos termos do art.º 608.º, n.º 1, alínea b) do Código de Processo Civil, bem como dos princípios consagrados no Código de Processo Penal. A defesa requer a</w:t>
      </w:r>
      <w:r>
        <w:t xml:space="preserve"> </w:t>
      </w:r>
      <w:r>
        <w:rPr>
          <w:b/>
          <w:bCs/>
        </w:rPr>
        <w:t xml:space="preserve">absolvição penal</w:t>
      </w:r>
      <w:r>
        <w:t xml:space="preserve"> </w:t>
      </w:r>
      <w:r>
        <w:t xml:space="preserve">dos réus e a</w:t>
      </w:r>
      <w:r>
        <w:t xml:space="preserve"> </w:t>
      </w:r>
      <w:r>
        <w:rPr>
          <w:b/>
          <w:bCs/>
        </w:rPr>
        <w:t xml:space="preserve">improcedência total da ação civil</w:t>
      </w:r>
      <w:r>
        <w:t xml:space="preserve">, por inexistência de responsabilidade civil e por nulidade das provas periciais produzidas nos autos.</w:t>
      </w:r>
    </w:p>
    <w:p>
      <w:r>
        <w:pict>
          <v:rect style="width:0;height:1.5pt" o:hralign="center" o:hrstd="t" o:hr="t"/>
        </w:pict>
      </w:r>
    </w:p>
    <w:bookmarkEnd w:id="10"/>
    <w:bookmarkStart w:id="11" w:name="Xaea67e9c7fa87db099db7041d77a2929178bcc0"/>
    <w:p>
      <w:pPr>
        <w:pStyle w:val="Heading3"/>
      </w:pPr>
      <w:r>
        <w:t xml:space="preserve">II. Exposição resumida dos factos controvertidos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320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Versão do Autor</w:t>
            </w:r>
          </w:p>
        </w:tc>
        <w:tc>
          <w:tcPr/>
          <w:p>
            <w:pPr>
              <w:pStyle w:val="Compact"/>
            </w:pPr>
            <w:r>
              <w:t xml:space="preserve">Versão da Defesa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Período alegado dos abusos</w:t>
            </w:r>
          </w:p>
        </w:tc>
        <w:tc>
          <w:tcPr/>
          <w:p>
            <w:pPr>
              <w:pStyle w:val="Compact"/>
            </w:pPr>
            <w:r>
              <w:t xml:space="preserve">2015‑2020, em instalações da Casa da Juventude.</w:t>
            </w:r>
          </w:p>
        </w:tc>
        <w:tc>
          <w:tcPr/>
          <w:p>
            <w:pPr>
              <w:pStyle w:val="Compact"/>
            </w:pPr>
            <w:r>
              <w:t xml:space="preserve">Não há prova documental que confirme a presença do menor nas referidas datas; registos de frequência demonstram ausência do menor entre 2016‑2019.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Identificação de Carlos Mendes como autor</w:t>
            </w:r>
          </w:p>
        </w:tc>
        <w:tc>
          <w:tcPr/>
          <w:p>
            <w:pPr>
              <w:pStyle w:val="Compact"/>
            </w:pPr>
            <w:r>
              <w:t xml:space="preserve">Depoimento da mãe, Maria Silva, e de duas testemunhas.</w:t>
            </w:r>
          </w:p>
        </w:tc>
        <w:tc>
          <w:tcPr/>
          <w:p>
            <w:pPr>
              <w:pStyle w:val="Compact"/>
            </w:pPr>
            <w:r>
              <w:t xml:space="preserve">As testemunhas não foram submetidas a entrevista forense; os depoimentos são contraditórios e carecem de coesão temporal.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Responsabilidade da Associação</w:t>
            </w:r>
          </w:p>
        </w:tc>
        <w:tc>
          <w:tcPr/>
          <w:p>
            <w:pPr>
              <w:pStyle w:val="Compact"/>
            </w:pPr>
            <w:r>
              <w:t xml:space="preserve">Falha na obrigação de vigilância, segundo alegação de negligência.</w:t>
            </w:r>
          </w:p>
        </w:tc>
        <w:tc>
          <w:tcPr/>
          <w:p>
            <w:pPr>
              <w:pStyle w:val="Compact"/>
            </w:pPr>
            <w:r>
              <w:t xml:space="preserve">A Associação mantém protocolos de segurança certificados (ISO 9001:2015) e relatórios de inspeção externa (ver. 2021) que comprovam a adoção de medidas preventivas adequadas.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Provas periciais</w:t>
            </w:r>
          </w:p>
        </w:tc>
        <w:tc>
          <w:tcPr/>
          <w:p>
            <w:pPr>
              <w:pStyle w:val="Compact"/>
            </w:pPr>
            <w:r>
              <w:t xml:space="preserve">Laudos de exame de DNA e de análise psicológica do menor.</w:t>
            </w:r>
          </w:p>
        </w:tc>
        <w:tc>
          <w:tcPr/>
          <w:p>
            <w:pPr>
              <w:pStyle w:val="Compact"/>
            </w:pPr>
            <w:r>
              <w:t xml:space="preserve">Laudos foram elaborados por peritos sem habilitação reconhecida para casos de abuso sexual de menores (art.º 9.º do Regime Jurídico dos Peritos).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iii.-preliminares-de-nulidade-processual"/>
    <w:p>
      <w:pPr>
        <w:pStyle w:val="Heading3"/>
      </w:pPr>
      <w:r>
        <w:t xml:space="preserve">III. Preliminares de nulidade processual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Inadmissibilidade da prova pericial</w:t>
      </w:r>
      <w:r>
        <w:t xml:space="preserve"> </w:t>
      </w:r>
      <w:r>
        <w:t xml:space="preserve">– Nos termos do art.º 351.º do CPP, a prova pericial só é admissível quando realizada por perito</w:t>
      </w:r>
      <w:r>
        <w:t xml:space="preserve"> </w:t>
      </w:r>
      <w:r>
        <w:rPr>
          <w:b/>
          <w:bCs/>
        </w:rPr>
        <w:t xml:space="preserve">inscrito</w:t>
      </w:r>
      <w:r>
        <w:t xml:space="preserve"> </w:t>
      </w:r>
      <w:r>
        <w:t xml:space="preserve">na lista oficial da Procuradoria‑Geral da República ou reconhecido pela autoridade judicial. Os peritos nomeados (Dr. Pedro Fonseca e Dra. Cláudia Ribeiro) não constam dessa lista, violando, assim, o princípio da</w:t>
      </w:r>
      <w:r>
        <w:t xml:space="preserve"> </w:t>
      </w:r>
      <w:r>
        <w:rPr>
          <w:b/>
          <w:bCs/>
        </w:rPr>
        <w:t xml:space="preserve">legalidade da prova</w:t>
      </w:r>
      <w:r>
        <w:t xml:space="preserve"> </w:t>
      </w:r>
      <w:r>
        <w:t xml:space="preserve">(art.º 5.º, n.º 1, da Constituição da República Portuguesa).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Violação do princípio do contraditório</w:t>
      </w:r>
      <w:r>
        <w:t xml:space="preserve"> </w:t>
      </w:r>
      <w:r>
        <w:t xml:space="preserve">– O Ministério Público não assegurou à defesa o direito de interrogar os peritos antes da entrega dos laudos, contrariando o art.º 31.º do CPP, que garante a</w:t>
      </w:r>
      <w:r>
        <w:t xml:space="preserve"> </w:t>
      </w:r>
      <w:r>
        <w:rPr>
          <w:b/>
          <w:bCs/>
        </w:rPr>
        <w:t xml:space="preserve">igualdade de armas</w:t>
      </w:r>
      <w:r>
        <w:t xml:space="preserve"> </w:t>
      </w:r>
      <w:r>
        <w:t xml:space="preserve">entre acusação e defesa.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Nulidade da oitiva da menor</w:t>
      </w:r>
      <w:r>
        <w:t xml:space="preserve"> </w:t>
      </w:r>
      <w:r>
        <w:t xml:space="preserve">– A entrevista psicológica foi realizada sem a presença de um assistente social devidamente habilitado, infringindo o disposto no art.º 27.º do Estatuto da Criança e do Adolescente (Lei 35/2014). Tal violação gera a nulidade da prova resultante.</w:t>
      </w:r>
    </w:p>
    <w:p>
      <w:r>
        <w:pict>
          <v:rect style="width:0;height:1.5pt" o:hralign="center" o:hrstd="t" o:hr="t"/>
        </w:pict>
      </w:r>
    </w:p>
    <w:bookmarkEnd w:id="12"/>
    <w:bookmarkStart w:id="16" w:name="iv.-contestação-das-provas-periciais"/>
    <w:p>
      <w:pPr>
        <w:pStyle w:val="Heading3"/>
      </w:pPr>
      <w:r>
        <w:t xml:space="preserve">IV. Contestação das provas periciais</w:t>
      </w:r>
    </w:p>
    <w:bookmarkStart w:id="13" w:name="laudo-de-dna"/>
    <w:p>
      <w:pPr>
        <w:pStyle w:val="Heading4"/>
      </w:pPr>
      <w:r>
        <w:t xml:space="preserve">4.1. Laudo de DNA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Ausência de cadeia de custódia</w:t>
      </w:r>
      <w:r>
        <w:t xml:space="preserve">: O laboratório não apresentou documentação que comprove a integridade da amostra desde a coleta até à análise, contrariando o art.º 10.º do Decreto‑Lei 86/2007, que regula a</w:t>
      </w:r>
      <w:r>
        <w:t xml:space="preserve"> </w:t>
      </w:r>
      <w:r>
        <w:rPr>
          <w:b/>
          <w:bCs/>
        </w:rPr>
        <w:t xml:space="preserve">trazabilidade de material biológico</w:t>
      </w:r>
      <w:r>
        <w:t xml:space="preserve">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Método de análise</w:t>
      </w:r>
      <w:r>
        <w:t xml:space="preserve">: O laudo menciona a utilização de um método de PCR “não validado para amostras de origem forense”, o que vulnera o princípio da</w:t>
      </w:r>
      <w:r>
        <w:t xml:space="preserve"> </w:t>
      </w:r>
      <w:r>
        <w:rPr>
          <w:b/>
          <w:bCs/>
        </w:rPr>
        <w:t xml:space="preserve">confiabilidade da prova</w:t>
      </w:r>
      <w:r>
        <w:t xml:space="preserve"> </w:t>
      </w:r>
      <w:r>
        <w:t xml:space="preserve">(art.º 351.º, n.º 1, CPP).</w:t>
      </w:r>
    </w:p>
    <w:bookmarkEnd w:id="13"/>
    <w:bookmarkStart w:id="14" w:name="avaliação-psicológica-do-menor"/>
    <w:p>
      <w:pPr>
        <w:pStyle w:val="Heading4"/>
      </w:pPr>
      <w:r>
        <w:t xml:space="preserve">4.2. Avaliação psicológica do menor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Inadequação metodológica</w:t>
      </w:r>
      <w:r>
        <w:t xml:space="preserve">: O perito utilizou o teste “Child Trauma Questionnaire” (CTQ) em versão adulta, sem adaptação nem validação para menores, violando o art.º 9.º do Regime dos Peritos.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Falta de controlo de vieses</w:t>
      </w:r>
      <w:r>
        <w:t xml:space="preserve">: Não foram aplicadas técnicas de blindagem de resultados, o que compromete a</w:t>
      </w:r>
      <w:r>
        <w:t xml:space="preserve"> </w:t>
      </w:r>
      <w:r>
        <w:rPr>
          <w:b/>
          <w:bCs/>
        </w:rPr>
        <w:t xml:space="preserve">objetividade</w:t>
      </w:r>
      <w:r>
        <w:t xml:space="preserve"> </w:t>
      </w:r>
      <w:r>
        <w:t xml:space="preserve">da avaliação.</w:t>
      </w:r>
    </w:p>
    <w:bookmarkEnd w:id="14"/>
    <w:bookmarkStart w:id="15" w:name="conclusão-pericial"/>
    <w:p>
      <w:pPr>
        <w:pStyle w:val="Heading4"/>
      </w:pPr>
      <w:r>
        <w:t xml:space="preserve">4.3. Conclusão pericial</w:t>
      </w:r>
    </w:p>
    <w:p>
      <w:pPr>
        <w:pStyle w:val="FirstParagraph"/>
      </w:pPr>
      <w:r>
        <w:t xml:space="preserve">Em face das irregularidades apontadas, requer‑se a</w:t>
      </w:r>
      <w:r>
        <w:t xml:space="preserve"> </w:t>
      </w:r>
      <w:r>
        <w:rPr>
          <w:b/>
          <w:bCs/>
        </w:rPr>
        <w:t xml:space="preserve">exclusão integral</w:t>
      </w:r>
      <w:r>
        <w:t xml:space="preserve"> </w:t>
      </w:r>
      <w:r>
        <w:t xml:space="preserve">de todos os laudos periciais dos autos, nos termos do art.º 351.º, n.º 2 do CPP, por serem</w:t>
      </w:r>
      <w:r>
        <w:t xml:space="preserve"> </w:t>
      </w:r>
      <w:r>
        <w:rPr>
          <w:b/>
          <w:bCs/>
        </w:rPr>
        <w:t xml:space="preserve">inadmissíveis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incongruentes</w:t>
      </w:r>
      <w:r>
        <w:t xml:space="preserve"> </w:t>
      </w:r>
      <w:r>
        <w:t xml:space="preserve">com a legislação aplicável.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20" w:name="v.-fundamentação-jurídica-da-defesa"/>
    <w:p>
      <w:pPr>
        <w:pStyle w:val="Heading3"/>
      </w:pPr>
      <w:r>
        <w:t xml:space="preserve">V. Fundamentação jurídica da defesa</w:t>
      </w:r>
    </w:p>
    <w:bookmarkStart w:id="17" w:name="Xfdb23be6949578d662a2287bb5c35626fa7925a"/>
    <w:p>
      <w:pPr>
        <w:pStyle w:val="Heading4"/>
      </w:pPr>
      <w:r>
        <w:t xml:space="preserve">5.1. Inexistência de responsabilidade civil da Associação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Cumprimento do dever de vigilância</w:t>
      </w:r>
      <w:r>
        <w:t xml:space="preserve"> </w:t>
      </w:r>
      <w:r>
        <w:t xml:space="preserve">– A Associação Casa da Juventude, Lda., cumpriu rigorosamente as obrigações legais previstas no Decreto‑Lei 84/2005, ao implementar o</w:t>
      </w:r>
      <w:r>
        <w:t xml:space="preserve"> </w:t>
      </w:r>
      <w:r>
        <w:rPr>
          <w:b/>
          <w:bCs/>
        </w:rPr>
        <w:t xml:space="preserve">Programa de Proteção à Infância</w:t>
      </w:r>
      <w:r>
        <w:t xml:space="preserve"> </w:t>
      </w:r>
      <w:r>
        <w:t xml:space="preserve">(PPI), certificado em 2021 por auditoria externa independente.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Causa exclusiva</w:t>
      </w:r>
      <w:r>
        <w:t xml:space="preserve"> </w:t>
      </w:r>
      <w:r>
        <w:t xml:space="preserve">– Não se verifica nexo causal entre a eventual conduta delituosa (se existisse) e a alegada falha da Associação, pois o menor não se encontrava nas instalações nos períodos indicados (ver registo de frequência – anexo I).</w:t>
      </w:r>
    </w:p>
    <w:bookmarkEnd w:id="17"/>
    <w:bookmarkStart w:id="18" w:name="X6342d2cd693308ac3b760ea057b57b3129aeb99"/>
    <w:p>
      <w:pPr>
        <w:pStyle w:val="Heading4"/>
      </w:pPr>
      <w:r>
        <w:t xml:space="preserve">5.2. Ausência de responsabilidade penal de Carlos Mendes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Presunção de inocência</w:t>
      </w:r>
      <w:r>
        <w:t xml:space="preserve"> </w:t>
      </w:r>
      <w:r>
        <w:t xml:space="preserve">– Art.º 31.º da Constituição da República Portuguesa assegura a presunção de inocência; a acusação não trouxe prova robusta que ultrapasse a dúvida razoável.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Falta de tipicidade</w:t>
      </w:r>
      <w:r>
        <w:t xml:space="preserve"> </w:t>
      </w:r>
      <w:r>
        <w:t xml:space="preserve">– Não está demonstrado que o réu tenha praticado ato que se enquadre no art.º 172.º do Código Penal (abuso sexual de menores), pois não há prova de contato físico nem de atos libidinosos.</w:t>
      </w:r>
    </w:p>
    <w:bookmarkEnd w:id="18"/>
    <w:bookmarkStart w:id="19" w:name="violação-dos-direitos-fundamentais"/>
    <w:p>
      <w:pPr>
        <w:pStyle w:val="Heading4"/>
      </w:pPr>
      <w:r>
        <w:t xml:space="preserve">5.3. Violação dos direitos fundamentais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Direito à defesa e ao contraditório</w:t>
      </w:r>
      <w:r>
        <w:t xml:space="preserve"> </w:t>
      </w:r>
      <w:r>
        <w:t xml:space="preserve">– A condução das provas violou o art.º 31.º do CPP e o art.º 13.º da Convenção Europeia dos Direitos Humanos, impondo à defesa a impossibilidade de contestar adequadamente as alegações.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Direito à intimidade e à vida privada</w:t>
      </w:r>
      <w:r>
        <w:t xml:space="preserve"> </w:t>
      </w:r>
      <w:r>
        <w:t xml:space="preserve">– A divulgação de informações sensíveis sobre o menor sem a devida tutela judicial contraria o art.º 26.º da Constituição e o RGPD (Regulamento UE 2016/679).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vi.-pedidos"/>
    <w:p>
      <w:pPr>
        <w:pStyle w:val="Heading3"/>
      </w:pPr>
      <w:r>
        <w:t xml:space="preserve">VI. Pedidos</w:t>
      </w:r>
    </w:p>
    <w:p>
      <w:pPr>
        <w:pStyle w:val="FirstParagraph"/>
      </w:pPr>
      <w:r>
        <w:t xml:space="preserve">Face ao exposto, a defesa requer a V. Exa.: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 declaração de nulidade</w:t>
      </w:r>
      <w:r>
        <w:t xml:space="preserve"> </w:t>
      </w:r>
      <w:r>
        <w:t xml:space="preserve">de todos os laudos periciais juntados aos autos, nos termos do art.º 351.º do CPP;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 absolvição penal</w:t>
      </w:r>
      <w:r>
        <w:t xml:space="preserve"> </w:t>
      </w:r>
      <w:r>
        <w:t xml:space="preserve">dos réus, por inexistência de prova suficiente que satisfaça o padrão da prova além de toda dúvida razoável (art.º 31.º, n.º 2, da Constituição);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 improcedência total da ação civil</w:t>
      </w:r>
      <w:r>
        <w:t xml:space="preserve">, com a consequente condenação da parte autora ao pagamento das custas processuais e dos honorários de sucumbência, nos termos do art.º 84.º do CPC;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 condenação do Ministério Público</w:t>
      </w:r>
      <w:r>
        <w:t xml:space="preserve"> </w:t>
      </w:r>
      <w:r>
        <w:t xml:space="preserve">ao pagamento das custas e despesas decorrentes da produção de provas ilícitas, nos termos do art.º 87.º, n.º 2, do CPC;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 expedição de certidão</w:t>
      </w:r>
      <w:r>
        <w:t xml:space="preserve"> </w:t>
      </w:r>
      <w:r>
        <w:t xml:space="preserve">de arquivamento dos autos, caso V. Exa. entenda pela inexistência de crime, nos termos do art.º 352.º do CPP.</w:t>
      </w:r>
    </w:p>
    <w:p>
      <w:r>
        <w:pict>
          <v:rect style="width:0;height:1.5pt" o:hralign="center" o:hrstd="t" o:hr="t"/>
        </w:pict>
      </w:r>
    </w:p>
    <w:bookmarkEnd w:id="21"/>
    <w:bookmarkStart w:id="22" w:name="vii.-protesta-por-prova"/>
    <w:p>
      <w:pPr>
        <w:pStyle w:val="Heading3"/>
      </w:pPr>
      <w:r>
        <w:t xml:space="preserve">VII. Protesta por prova</w:t>
      </w:r>
    </w:p>
    <w:p>
      <w:pPr>
        <w:pStyle w:val="FirstParagraph"/>
      </w:pPr>
      <w:r>
        <w:t xml:space="preserve">A defesa protesta, desde já, por todos os meios de prova admitidos em direito, nomeadamente a</w:t>
      </w:r>
      <w:r>
        <w:t xml:space="preserve"> </w:t>
      </w:r>
      <w:r>
        <w:rPr>
          <w:b/>
          <w:bCs/>
        </w:rPr>
        <w:t xml:space="preserve">produção de documentos internos da Associação</w:t>
      </w:r>
      <w:r>
        <w:t xml:space="preserve">, a</w:t>
      </w:r>
      <w:r>
        <w:t xml:space="preserve"> </w:t>
      </w:r>
      <w:r>
        <w:rPr>
          <w:b/>
          <w:bCs/>
        </w:rPr>
        <w:t xml:space="preserve">ouvida de testemunhas</w:t>
      </w:r>
      <w:r>
        <w:t xml:space="preserve"> </w:t>
      </w:r>
      <w:r>
        <w:t xml:space="preserve">que comprovem a inexistência de contato entre o réu e o menor, e a</w:t>
      </w:r>
      <w:r>
        <w:t xml:space="preserve"> </w:t>
      </w:r>
      <w:r>
        <w:rPr>
          <w:b/>
          <w:bCs/>
        </w:rPr>
        <w:t xml:space="preserve">nomeação de peritos oficiais</w:t>
      </w:r>
      <w:r>
        <w:t xml:space="preserve"> </w:t>
      </w:r>
      <w:r>
        <w:t xml:space="preserve">para eventual reavaliação de provas, caso V. Exa. entenda necessário.</w:t>
      </w:r>
    </w:p>
    <w:p>
      <w:r>
        <w:pict>
          <v:rect style="width:0;height:1.5pt" o:hralign="center" o:hrstd="t" o:hr="t"/>
        </w:pict>
      </w:r>
    </w:p>
    <w:bookmarkEnd w:id="22"/>
    <w:bookmarkStart w:id="23" w:name="viii.-conclusão"/>
    <w:p>
      <w:pPr>
        <w:pStyle w:val="Heading3"/>
      </w:pPr>
      <w:r>
        <w:t xml:space="preserve">VIII. Conclusão</w:t>
      </w:r>
    </w:p>
    <w:p>
      <w:pPr>
        <w:pStyle w:val="FirstParagraph"/>
      </w:pPr>
      <w:r>
        <w:t xml:space="preserve">Em síntese, a defesa demonstra que:</w:t>
      </w:r>
    </w:p>
    <w:p>
      <w:pPr>
        <w:pStyle w:val="Compact"/>
        <w:numPr>
          <w:ilvl w:val="0"/>
          <w:numId w:val="1008"/>
        </w:numPr>
      </w:pPr>
      <w:r>
        <w:t xml:space="preserve">As provas apresentadas pela parte autora são</w:t>
      </w:r>
      <w:r>
        <w:t xml:space="preserve"> </w:t>
      </w:r>
      <w:r>
        <w:rPr>
          <w:b/>
          <w:bCs/>
        </w:rPr>
        <w:t xml:space="preserve">ilícitas</w:t>
      </w:r>
      <w:r>
        <w:t xml:space="preserve">,</w:t>
      </w:r>
      <w:r>
        <w:t xml:space="preserve"> </w:t>
      </w:r>
      <w:r>
        <w:rPr>
          <w:b/>
          <w:bCs/>
        </w:rPr>
        <w:t xml:space="preserve">incoerentes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insuficientes</w:t>
      </w:r>
      <w:r>
        <w:t xml:space="preserve"> </w:t>
      </w:r>
      <w:r>
        <w:t xml:space="preserve">para sustentar qualquer responsabilização penal ou civil;</w:t>
      </w:r>
    </w:p>
    <w:p>
      <w:pPr>
        <w:pStyle w:val="Compact"/>
        <w:numPr>
          <w:ilvl w:val="0"/>
          <w:numId w:val="1008"/>
        </w:numPr>
      </w:pPr>
      <w:r>
        <w:t xml:space="preserve">Não há nexo causal entre a suposta conduta delituosa e a Associação Casa da Juventude, que tem cumprido integralmente as normas de proteção à infância;</w:t>
      </w:r>
    </w:p>
    <w:p>
      <w:pPr>
        <w:pStyle w:val="Compact"/>
        <w:numPr>
          <w:ilvl w:val="0"/>
          <w:numId w:val="1008"/>
        </w:numPr>
      </w:pPr>
      <w:r>
        <w:t xml:space="preserve">O princípio da</w:t>
      </w:r>
      <w:r>
        <w:t xml:space="preserve"> </w:t>
      </w:r>
      <w:r>
        <w:rPr>
          <w:b/>
          <w:bCs/>
        </w:rPr>
        <w:t xml:space="preserve">presunção de inocência</w:t>
      </w:r>
      <w:r>
        <w:t xml:space="preserve"> </w:t>
      </w:r>
      <w:r>
        <w:t xml:space="preserve">e o</w:t>
      </w:r>
      <w:r>
        <w:t xml:space="preserve"> </w:t>
      </w:r>
      <w:r>
        <w:rPr>
          <w:b/>
          <w:bCs/>
        </w:rPr>
        <w:t xml:space="preserve">direito ao contraditório</w:t>
      </w:r>
      <w:r>
        <w:t xml:space="preserve"> </w:t>
      </w:r>
      <w:r>
        <w:t xml:space="preserve">foram gravemente violados, o que impõe a</w:t>
      </w:r>
      <w:r>
        <w:t xml:space="preserve"> </w:t>
      </w:r>
      <w:r>
        <w:rPr>
          <w:b/>
          <w:bCs/>
        </w:rPr>
        <w:t xml:space="preserve">anulação</w:t>
      </w:r>
      <w:r>
        <w:t xml:space="preserve"> </w:t>
      </w:r>
      <w:r>
        <w:t xml:space="preserve">dos atos probatórios e, por conseguinte, a</w:t>
      </w:r>
      <w:r>
        <w:t xml:space="preserve"> </w:t>
      </w:r>
      <w:r>
        <w:rPr>
          <w:b/>
          <w:bCs/>
        </w:rPr>
        <w:t xml:space="preserve">absolvição</w:t>
      </w:r>
      <w:r>
        <w:t xml:space="preserve"> </w:t>
      </w:r>
      <w:r>
        <w:t xml:space="preserve">dos réus.</w:t>
      </w:r>
    </w:p>
    <w:p>
      <w:pPr>
        <w:pStyle w:val="FirstParagraph"/>
      </w:pPr>
      <w:r>
        <w:t xml:space="preserve">Pelo exposto, requer‑se a V. Exa. que se digne a</w:t>
      </w:r>
      <w:r>
        <w:t xml:space="preserve"> </w:t>
      </w:r>
      <w:r>
        <w:rPr>
          <w:b/>
          <w:bCs/>
        </w:rPr>
        <w:t xml:space="preserve">julgar improcedentes</w:t>
      </w:r>
      <w:r>
        <w:t xml:space="preserve"> </w:t>
      </w:r>
      <w:r>
        <w:t xml:space="preserve">os pedidos formulados por João Silva, e a</w:t>
      </w:r>
      <w:r>
        <w:t xml:space="preserve"> </w:t>
      </w:r>
      <w:r>
        <w:rPr>
          <w:b/>
          <w:bCs/>
        </w:rPr>
        <w:t xml:space="preserve">absolver</w:t>
      </w:r>
      <w:r>
        <w:t xml:space="preserve"> </w:t>
      </w:r>
      <w:r>
        <w:t xml:space="preserve">penalmente Carlos Mendes e a Associação Casa da Juventude, Lda.</w:t>
      </w:r>
    </w:p>
    <w:p>
      <w:pPr>
        <w:pStyle w:val="BodyText"/>
      </w:pPr>
      <w: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Dr. Luís Costa</w:t>
      </w:r>
      <w:r>
        <w:t xml:space="preserve"> </w:t>
      </w:r>
      <w:r>
        <w:t xml:space="preserve">– OA 12345</w:t>
      </w:r>
      <w:r>
        <w:br/>
      </w:r>
      <w:r>
        <w:rPr>
          <w:b/>
          <w:bCs/>
        </w:rPr>
        <w:t xml:space="preserve">Dra. Sofia Almeida</w:t>
      </w:r>
      <w:r>
        <w:t xml:space="preserve"> </w:t>
      </w:r>
      <w:r>
        <w:t xml:space="preserve">– OA 67890</w:t>
      </w:r>
    </w:p>
    <w:p>
      <w:pPr>
        <w:pStyle w:val="BodyText"/>
      </w:pPr>
      <w:r>
        <w:rPr>
          <w:i/>
          <w:iCs/>
        </w:rPr>
        <w:t xml:space="preserve">Advogados da Defesa</w:t>
      </w:r>
    </w:p>
    <w:bookmarkEnd w:id="23"/>
    <w:bookmarkEnd w:id="2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